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届全国高校网络教育优秀作品推选展示活动</w:t>
      </w:r>
    </w:p>
    <w:p>
      <w:pPr>
        <w:spacing w:line="600" w:lineRule="exact"/>
        <w:jc w:val="center"/>
        <w:rPr>
          <w:rFonts w:ascii="Times New Roman" w:hAnsi="Times New Roman" w:cs="Times New Roman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工作方案</w:t>
      </w:r>
    </w:p>
    <w:p>
      <w:pPr>
        <w:spacing w:line="600" w:lineRule="exact"/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一、目的意义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围绕“我们这十年”突出爱国爱党爱社会主义主题引领，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鼓励引导广大思政工作者创作推出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一批反映新时代高校网络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思政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教育的先进经验、典型案例、优秀作品，充分发挥其示范引领和模范带动作用，推动思想政治工作联网上线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，深化网络文明建设，以实际行动迎接党的二十大胜利召开。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二、活动主题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争做校园好网民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凝聚网络正能量，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青春献礼二十大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、活动对象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我院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教职工均可参与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四、作品征集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类作品。</w:t>
      </w:r>
      <w:r>
        <w:rPr>
          <w:rFonts w:ascii="Times New Roman" w:hAnsi="Times New Roman" w:eastAsia="仿宋_GB2312" w:cs="Times New Roman"/>
          <w:sz w:val="32"/>
          <w:szCs w:val="32"/>
        </w:rPr>
        <w:t>所有作品须为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日至提交截止日期间在网络上发表的作品。</w:t>
      </w:r>
    </w:p>
    <w:p>
      <w:pPr>
        <w:wordWrap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（一）优秀网络文章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人，且必须为文章第一作者。</w:t>
      </w:r>
    </w:p>
    <w:p>
      <w:pPr>
        <w:wordWrap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（二）优秀工作案例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可围绕个人或团队（高校网络思政工作室、理论社团、心理咨询室、创新创业工作室等）在创新网络思想政治工作、提升师生网络素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养、开展网络文化建设、推进网络文明教育、营造清朗网络空间工作过程中探索施行的好经验、好做法及维护运行的平台及栏目，或在开展学生工作中利用网络对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遇到的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好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经验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好做法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进行撰写，并在此基础上进行剖析、总结、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提炼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对策新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经验。案例需已形成一定的典型性经验，有固定工作平台、可靠条件保障、长效工作机制和明显育人实效，可示范、可复制、可推广。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、重点突出，字数3000字以上，可配说明图片和视频。每件作品作者限3人以内。</w:t>
      </w:r>
    </w:p>
    <w:p>
      <w:pPr>
        <w:wordWrap w:val="0"/>
        <w:spacing w:line="600" w:lineRule="exact"/>
        <w:ind w:left="602"/>
        <w:rPr>
          <w:rFonts w:ascii="Times New Roman" w:hAnsi="Times New Roman" w:eastAsia="楷体_GB2312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（三）优秀微课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场景、要点或环节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课堂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设计，能够有效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解决思政工作中的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重点、难点、疑点问题。作品要贴近师生思想、学习、工作和生活实际，在思想融入、情景设计、表达演绎、拍摄制作等方面具有较高的水平。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题简洁，目标明确，有个性和特色，作品片长不超过1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分钟；画质清晰，声音清楚，提倡标注字幕。每件作品作者限3人以内。</w:t>
      </w:r>
    </w:p>
    <w:p>
      <w:pPr>
        <w:wordWrap w:val="0"/>
        <w:spacing w:line="600" w:lineRule="exact"/>
        <w:ind w:left="602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（四）优秀新媒体作品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新媒体手段进行的宣传报道、经验分享及成果展示等，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作品包括短视频、微电影、公益广告、校园MV、音频、H5作品、图解、漫画、长图及动图等。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视频类作品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片长不超过10分钟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JPEG格式。动图类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GIF格式。H5页面类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时长不超过5分钟，格式统一为MP3，以Word形式提供音频文字，保证音质清晰流畅，有听觉美感，可根据需要配音效或进行其他后期制作。每件作品作者限6人以内。</w:t>
      </w:r>
    </w:p>
    <w:p>
      <w:pPr>
        <w:wordWrap w:val="0"/>
        <w:spacing w:line="600" w:lineRule="exact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 w:val="0"/>
        <w:spacing w:line="600" w:lineRule="exact"/>
        <w:ind w:right="1200"/>
        <w:jc w:val="left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br w:type="page"/>
      </w:r>
    </w:p>
    <w:p>
      <w:pPr>
        <w:wordWrap w:val="0"/>
        <w:spacing w:line="60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第六届全国高校网络教育优秀作品推选展示活动</w:t>
      </w:r>
    </w:p>
    <w:p>
      <w:pPr>
        <w:wordWrap w:val="0"/>
        <w:spacing w:line="60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作品创作选题指南</w:t>
      </w:r>
    </w:p>
    <w:p>
      <w:pPr>
        <w:pStyle w:val="10"/>
        <w:wordWrap w:val="0"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，围绕对</w:t>
      </w:r>
      <w:r>
        <w:rPr>
          <w:rFonts w:hint="eastAsia" w:ascii="Times" w:hAnsi="Times" w:eastAsia="仿宋_GB2312" w:cs="宋体"/>
          <w:kern w:val="0"/>
          <w:sz w:val="32"/>
          <w:szCs w:val="32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，结合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要义。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关于教育的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4.学习宣传习近平总书记关于爱国主义教育的重要论述，表达青年学生的爱国之情、强国之志、报国之行。</w:t>
      </w:r>
    </w:p>
    <w:p>
      <w:pPr>
        <w:pStyle w:val="10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5.学习宣传习近平法治思想，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弘扬社会主义法治理念、法治精神，培育社会主义法治文化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，不断提升法治意识和法治素养，自觉尊法学法守法用法。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eastAsia" w:ascii="Times" w:hAnsi="Times" w:eastAsia="仿宋_GB2312"/>
          <w:sz w:val="32"/>
          <w:szCs w:val="32"/>
        </w:rPr>
        <w:t>献礼党的二十大，聚焦“我们这十年”，展现党的十八大以来取得的历史性成就、发生的历史性变革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10"/>
        <w:wordWrap w:val="0"/>
        <w:adjustRightInd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8.学习弘扬中华优秀传统文化、革命文化、社会主义先进文化，践行社会主义核心价值观。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开展国家安全教育，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国家安全教育的重要性，自觉维护国家安全。</w:t>
      </w:r>
    </w:p>
    <w:p>
      <w:pPr>
        <w:overflowPunct w:val="0"/>
        <w:adjustRightInd w:val="0"/>
        <w:spacing w:line="60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10.开展</w:t>
      </w:r>
      <w:r>
        <w:rPr>
          <w:rFonts w:ascii="Calibri" w:hAnsi="Calibri" w:eastAsia="仿宋_GB2312" w:cs="Calibri"/>
          <w:sz w:val="32"/>
          <w:szCs w:val="21"/>
        </w:rPr>
        <w:t>网络文明</w:t>
      </w:r>
      <w:r>
        <w:rPr>
          <w:rFonts w:hint="eastAsia" w:eastAsia="仿宋_GB2312" w:cs="Calibri"/>
          <w:sz w:val="32"/>
          <w:szCs w:val="21"/>
        </w:rPr>
        <w:t>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倡导文明理性健康上网，提升网络素养，增强辨别是非的能力，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积极参与网络文明建设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，争做校园好网民，营造清朗网络空间，</w:t>
      </w:r>
      <w:r>
        <w:rPr>
          <w:rFonts w:ascii="Calibri" w:hAnsi="Calibri" w:eastAsia="仿宋_GB2312" w:cs="Calibri"/>
          <w:sz w:val="32"/>
          <w:szCs w:val="21"/>
        </w:rPr>
        <w:t>共建美好网上精神家园</w:t>
      </w:r>
      <w:r>
        <w:rPr>
          <w:rFonts w:hint="eastAsia" w:eastAsia="仿宋_GB2312" w:cs="Calibri"/>
          <w:sz w:val="32"/>
          <w:szCs w:val="21"/>
        </w:rPr>
        <w:t>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11.落实立德树人根本任务，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抓好后继有人根本大计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培养担当民族复兴大任的时代新人，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提升高校思想政治教育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时代性、针对性、科学性的思考和实践。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三全育人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综合改革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，构建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高校思想政治工作体系的思考与实践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13.促进教师做学生为学、为事、为人的示范，成为大先生的思考与实践。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14.开展网络思政教育，提升网络舆论引导能力，运用互联网技术手段开展思政工作的对策分析。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15.开展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校园文化建设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" w:hAnsi="Times" w:eastAsia="仿宋_GB2312"/>
          <w:sz w:val="32"/>
          <w:szCs w:val="32"/>
        </w:rPr>
        <w:t>挖掘所在地区和高校文化中的“四史”学习教育元素，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培育优良校风学风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10"/>
        <w:wordWrap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16.开展大学生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心理健康教育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，普及心理健康知识，培育理性平和、积极向上的健康心态。</w:t>
      </w:r>
    </w:p>
    <w:p>
      <w:pPr>
        <w:pStyle w:val="10"/>
        <w:wordWrap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17.开展诚信教育，围绕学习学术、助学贷款、就业求职等方面的问题，提升新时代大学生诚信意识，营造守信良好氛围。</w:t>
      </w:r>
    </w:p>
    <w:p>
      <w:pPr>
        <w:pStyle w:val="10"/>
        <w:wordWrap w:val="0"/>
        <w:spacing w:line="60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18.铸牢中华民族共同体意识，增强听党话、感党恩、跟党走的政治自觉、思想自觉和行动自觉，厚植对中华民族的认同感，构建中华民族共有精神家园。</w:t>
      </w:r>
    </w:p>
    <w:p>
      <w:pPr>
        <w:pStyle w:val="10"/>
        <w:wordWrap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19.扫黑除恶，净化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环境，共建平安校园，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10"/>
        <w:wordWrap w:val="0"/>
        <w:spacing w:line="60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20.防范电信网络诈骗，提高反诈防骗能力，提升师生自我防护和遵纪守法意识。</w:t>
      </w:r>
    </w:p>
    <w:p>
      <w:pPr>
        <w:pStyle w:val="10"/>
        <w:wordWrap w:val="0"/>
        <w:spacing w:line="600" w:lineRule="exact"/>
        <w:ind w:firstLine="602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（供创作参考，不限于以上主题）</w:t>
      </w:r>
    </w:p>
    <w:p>
      <w:pPr>
        <w:pStyle w:val="10"/>
        <w:wordWrap w:val="0"/>
        <w:spacing w:line="60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pStyle w:val="10"/>
        <w:wordWrap w:val="0"/>
        <w:spacing w:line="60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pStyle w:val="10"/>
        <w:wordWrap w:val="0"/>
        <w:spacing w:line="60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pStyle w:val="10"/>
        <w:wordWrap w:val="0"/>
        <w:spacing w:line="60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pStyle w:val="10"/>
        <w:wordWrap w:val="0"/>
        <w:spacing w:line="600" w:lineRule="exact"/>
        <w:ind w:firstLine="0" w:firstLineChars="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spacing w:val="-6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spacing w:val="-6"/>
          <w:kern w:val="0"/>
          <w:sz w:val="30"/>
          <w:szCs w:val="30"/>
        </w:rPr>
        <w:t>第六届全国高校网络教育优秀作品推选展示活动作品征集信息表</w:t>
      </w:r>
    </w:p>
    <w:p>
      <w:pPr>
        <w:spacing w:line="560" w:lineRule="exact"/>
        <w:rPr>
          <w:rFonts w:cs="宋体" w:asciiTheme="majorEastAsia" w:hAnsiTheme="majorEastAsia" w:eastAsiaTheme="majorEastAsia"/>
          <w:b/>
          <w:spacing w:val="-6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□单位推荐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院系/部门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手机号码（务必作者本人手机）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77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 □工作案例 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860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pacing w:val="-10"/>
          <w:kern w:val="0"/>
          <w:szCs w:val="21"/>
        </w:r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hint="eastAsia" w:ascii="Times New Roman" w:hAnsi="Times New Roman" w:cs="Times New Roman"/>
          <w:szCs w:val="24"/>
        </w:rPr>
        <w:t>电子档标题注明“作品类别+推荐单位名称+信息表”，</w:t>
      </w:r>
      <w:r>
        <w:rPr>
          <w:rFonts w:hint="eastAsia" w:ascii="Times New Roman" w:hAnsi="Times New Roman" w:cs="Times New Roman"/>
          <w:kern w:val="0"/>
          <w:szCs w:val="24"/>
        </w:rPr>
        <w:t>每个作品单独一张</w:t>
      </w:r>
      <w:r>
        <w:rPr>
          <w:rFonts w:hint="eastAsia" w:ascii="Times New Roman" w:hAnsi="Times New Roman" w:cs="Times New Roman"/>
          <w:szCs w:val="24"/>
        </w:rPr>
        <w:t>表</w:t>
      </w:r>
      <w:r>
        <w:rPr>
          <w:rFonts w:hint="eastAsia" w:ascii="Times New Roman" w:hAnsi="Times New Roman" w:cs="Times New Roman"/>
          <w:kern w:val="0"/>
          <w:szCs w:val="24"/>
        </w:rPr>
        <w:t>。</w:t>
      </w:r>
    </w:p>
    <w:p/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spacing w:val="-6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spacing w:val="-6"/>
          <w:kern w:val="0"/>
          <w:sz w:val="30"/>
          <w:szCs w:val="30"/>
        </w:rPr>
        <w:t>第六届全国高校网络教育优秀作品推选展示活动作品征集信息</w:t>
      </w:r>
    </w:p>
    <w:p>
      <w:pPr>
        <w:spacing w:line="560" w:lineRule="exact"/>
        <w:jc w:val="center"/>
        <w:rPr>
          <w:rFonts w:cs="宋体" w:asciiTheme="majorEastAsia" w:hAnsiTheme="majorEastAsia" w:eastAsiaTheme="majorEastAsia"/>
          <w:b/>
          <w:spacing w:val="-6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spacing w:val="-6"/>
          <w:kern w:val="0"/>
          <w:sz w:val="30"/>
          <w:szCs w:val="30"/>
        </w:rPr>
        <w:t>汇总表</w:t>
      </w:r>
    </w:p>
    <w:p>
      <w:pPr>
        <w:spacing w:line="560" w:lineRule="exact"/>
        <w:rPr>
          <w:rFonts w:cs="宋体" w:asciiTheme="majorEastAsia" w:hAnsiTheme="majorEastAsia" w:eastAsiaTheme="majorEastAsia"/>
          <w:b/>
          <w:spacing w:val="-6"/>
          <w:kern w:val="0"/>
          <w:sz w:val="30"/>
          <w:szCs w:val="30"/>
        </w:rPr>
      </w:pP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84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270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推荐类型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□单位推荐</w:t>
            </w:r>
          </w:p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31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务</w:t>
            </w: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3" w:type="dxa"/>
            <w:gridSpan w:val="9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作者姓名</w:t>
            </w:r>
          </w:p>
        </w:tc>
        <w:tc>
          <w:tcPr>
            <w:tcW w:w="1934" w:type="dxa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7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</w:tcPr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ind w:right="894"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hint="eastAsia" w:ascii="Times New Roman" w:hAnsi="Times New Roman" w:cs="Times New Roman"/>
          <w:szCs w:val="24"/>
        </w:rPr>
        <w:t>备注：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szCs w:val="24"/>
        </w:rPr>
        <w:t>“作品类别+推荐</w:t>
      </w:r>
      <w:r>
        <w:rPr>
          <w:rFonts w:ascii="Times New Roman" w:hAnsi="Times New Roman" w:cs="Times New Roman"/>
          <w:szCs w:val="24"/>
        </w:rPr>
        <w:t>单位名称</w:t>
      </w:r>
      <w:r>
        <w:rPr>
          <w:rFonts w:hint="eastAsia" w:ascii="Times New Roman" w:hAnsi="Times New Roman" w:cs="Times New Roman"/>
          <w:szCs w:val="24"/>
        </w:rPr>
        <w:t>+汇总表”，每类作品单独一张表</w:t>
      </w:r>
      <w:r>
        <w:rPr>
          <w:rFonts w:ascii="Times New Roman" w:hAnsi="Times New Roman" w:cs="Times New Roman"/>
          <w:szCs w:val="24"/>
        </w:rPr>
        <w:t>。</w:t>
      </w:r>
      <w:r>
        <w:rPr>
          <w:rFonts w:hint="eastAsia" w:ascii="Times New Roman" w:hAnsi="Times New Roman" w:cs="Times New Roman"/>
          <w:szCs w:val="24"/>
        </w:rPr>
        <w:t xml:space="preserve">    </w:t>
      </w:r>
    </w:p>
    <w:p>
      <w:pPr>
        <w:widowControl/>
        <w:spacing w:after="156" w:afterLines="50" w:line="560" w:lineRule="exact"/>
        <w:jc w:val="center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___WRD_EMBED_SUB_331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Times New Roman" w:hAnsi="Times New Roman" w:cs="Times New Roman"/>
        <w:sz w:val="24"/>
        <w:szCs w:val="24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3</w:t>
    </w:r>
    <w:r>
      <w:rPr>
        <w:rFonts w:ascii="Times New Roman" w:hAnsi="Times New Roman" w:cs="Times New Roman"/>
        <w:sz w:val="28"/>
        <w:szCs w:val="28"/>
        <w:lang w:val="zh-CN"/>
      </w:rPr>
      <w:fldChar w:fldCharType="end"/>
    </w:r>
    <w:r>
      <w:rPr>
        <w:rFonts w:hint="eastAsia" w:ascii="Times New Roman" w:hAnsi="Times New Roman" w:cs="Times New Roman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M2ZlZmUzYTA1ZGUyYmI0OWFiOWI5MDIyOTg2YWQifQ=="/>
  </w:docVars>
  <w:rsids>
    <w:rsidRoot w:val="006D07DA"/>
    <w:rsid w:val="00022E2B"/>
    <w:rsid w:val="000C7515"/>
    <w:rsid w:val="000E2EEE"/>
    <w:rsid w:val="00155BFE"/>
    <w:rsid w:val="0017351D"/>
    <w:rsid w:val="00176DE9"/>
    <w:rsid w:val="00367ECF"/>
    <w:rsid w:val="00431279"/>
    <w:rsid w:val="004F49D5"/>
    <w:rsid w:val="006058F5"/>
    <w:rsid w:val="00660E49"/>
    <w:rsid w:val="00670100"/>
    <w:rsid w:val="00685ED6"/>
    <w:rsid w:val="006A6693"/>
    <w:rsid w:val="006B1BAE"/>
    <w:rsid w:val="006D07DA"/>
    <w:rsid w:val="006D27FC"/>
    <w:rsid w:val="00862A3A"/>
    <w:rsid w:val="00917258"/>
    <w:rsid w:val="0093380D"/>
    <w:rsid w:val="00971B63"/>
    <w:rsid w:val="00A217B2"/>
    <w:rsid w:val="00A67EE6"/>
    <w:rsid w:val="00AE7995"/>
    <w:rsid w:val="00C51EC6"/>
    <w:rsid w:val="00C62ADC"/>
    <w:rsid w:val="00D36884"/>
    <w:rsid w:val="00D46C53"/>
    <w:rsid w:val="00EA3DFC"/>
    <w:rsid w:val="00ED1941"/>
    <w:rsid w:val="00FE7D8E"/>
    <w:rsid w:val="3587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正文格式 Char"/>
    <w:basedOn w:val="5"/>
    <w:link w:val="8"/>
    <w:qFormat/>
    <w:uiPriority w:val="0"/>
    <w:rPr>
      <w:rFonts w:ascii="Times New Roman" w:hAnsi="Times New Roman" w:eastAsia="仿宋_GB2312" w:cs="Times New Roman"/>
      <w:sz w:val="30"/>
      <w:szCs w:val="30"/>
    </w:rPr>
  </w:style>
  <w:style w:type="paragraph" w:customStyle="1" w:styleId="8">
    <w:name w:val="正文格式"/>
    <w:basedOn w:val="1"/>
    <w:link w:val="7"/>
    <w:qFormat/>
    <w:uiPriority w:val="0"/>
    <w:pPr>
      <w:spacing w:line="520" w:lineRule="exact"/>
      <w:ind w:firstLine="600" w:firstLineChars="200"/>
    </w:pPr>
    <w:rPr>
      <w:rFonts w:ascii="Times New Roman" w:hAnsi="Times New Roman" w:eastAsia="仿宋_GB2312" w:cs="Times New Roman"/>
      <w:sz w:val="30"/>
      <w:szCs w:val="30"/>
    </w:rPr>
  </w:style>
  <w:style w:type="paragraph" w:customStyle="1" w:styleId="9">
    <w:name w:val="msolistparagraph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页脚 Char"/>
    <w:basedOn w:val="5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7251</Words>
  <Characters>7505</Characters>
  <Lines>58</Lines>
  <Paragraphs>16</Paragraphs>
  <TotalTime>51</TotalTime>
  <ScaleCrop>false</ScaleCrop>
  <LinksUpToDate>false</LinksUpToDate>
  <CharactersWithSpaces>7672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2022-05-23T00:57:00Z</dcterms:created>
  <dc:creator>Administrator</dc:creator>
  <cp:lastModifiedBy>A·穆勒萨克斯艺术工作室</cp:lastModifiedBy>
  <cp:lastPrinted>2022-06-01T00:09:00Z</cp:lastPrinted>
  <dcterms:modified xsi:type="dcterms:W3CDTF">2022-06-01T00:55:44Z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FE1815AFBD0146318AA37ADF04ECCB10</vt:lpwstr>
  </property>
</Properties>
</file>